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u w:val="none"/>
          <w:lang w:val="en-US" w:eastAsia="zh-CN"/>
        </w:rPr>
        <w:t>家庭病床服务申请及评估流程</w:t>
      </w:r>
    </w:p>
    <w:p>
      <w:pPr>
        <w:tabs>
          <w:tab w:val="left" w:pos="5843"/>
        </w:tabs>
        <w:rPr>
          <w:rFonts w:hint="eastAsia"/>
          <w:b w:val="0"/>
          <w:bCs w:val="0"/>
          <w:color w:val="000000"/>
          <w:sz w:val="24"/>
          <w:szCs w:val="32"/>
          <w:highlight w:val="none"/>
          <w:lang w:val="en-US" w:eastAsia="zh-CN"/>
        </w:rPr>
      </w:pPr>
      <w:r>
        <w:rPr>
          <w:rFonts w:hint="eastAsia"/>
          <w:b w:val="0"/>
          <w:bCs w:val="0"/>
          <w:color w:val="000000"/>
          <w:sz w:val="24"/>
          <w:szCs w:val="32"/>
          <w:highlight w:val="none"/>
          <w:lang w:eastAsia="zh-CN"/>
        </w:rPr>
        <w:tab/>
      </w:r>
      <w:r>
        <w:rPr>
          <w:rFonts w:hint="eastAsia"/>
          <w:b w:val="0"/>
          <w:bCs w:val="0"/>
          <w:color w:val="000000"/>
          <w:sz w:val="24"/>
          <w:szCs w:val="32"/>
          <w:highlight w:val="none"/>
          <w:lang w:val="en-US" w:eastAsia="zh-CN"/>
        </w:rPr>
        <w:t xml:space="preserve">   </w:t>
      </w:r>
    </w:p>
    <w:p>
      <w:pPr>
        <w:tabs>
          <w:tab w:val="left" w:pos="5843"/>
        </w:tabs>
        <w:rPr>
          <w:rFonts w:hint="default" w:eastAsia="宋体"/>
          <w:b w:val="0"/>
          <w:bCs w:val="0"/>
          <w:color w:val="000000"/>
          <w:sz w:val="24"/>
          <w:szCs w:val="32"/>
          <w:highlight w:val="none"/>
          <w:lang w:val="en-US" w:eastAsia="zh-CN"/>
        </w:rPr>
      </w:pPr>
      <w:r>
        <w:rPr>
          <w:sz w:val="24"/>
        </w:rPr>
        <mc:AlternateContent>
          <mc:Choice Requires="wpg">
            <w:drawing>
              <wp:anchor distT="0" distB="0" distL="114300" distR="114300" simplePos="0" relativeHeight="251670528" behindDoc="0" locked="0" layoutInCell="1" allowOverlap="1">
                <wp:simplePos x="0" y="0"/>
                <wp:positionH relativeFrom="column">
                  <wp:posOffset>357505</wp:posOffset>
                </wp:positionH>
                <wp:positionV relativeFrom="paragraph">
                  <wp:posOffset>34925</wp:posOffset>
                </wp:positionV>
                <wp:extent cx="4611370" cy="7201535"/>
                <wp:effectExtent l="4445" t="4445" r="13335" b="13970"/>
                <wp:wrapNone/>
                <wp:docPr id="7" name="组合 7"/>
                <wp:cNvGraphicFramePr/>
                <a:graphic xmlns:a="http://schemas.openxmlformats.org/drawingml/2006/main">
                  <a:graphicData uri="http://schemas.microsoft.com/office/word/2010/wordprocessingGroup">
                    <wpg:wgp>
                      <wpg:cNvGrpSpPr/>
                      <wpg:grpSpPr>
                        <a:xfrm>
                          <a:off x="0" y="0"/>
                          <a:ext cx="4611370" cy="7201535"/>
                          <a:chOff x="4032" y="157325"/>
                          <a:chExt cx="7262" cy="11341"/>
                        </a:xfrm>
                      </wpg:grpSpPr>
                      <wpg:grpSp>
                        <wpg:cNvPr id="21" name="组合 21"/>
                        <wpg:cNvGrpSpPr/>
                        <wpg:grpSpPr>
                          <a:xfrm>
                            <a:off x="4032" y="157325"/>
                            <a:ext cx="7262" cy="9543"/>
                            <a:chOff x="6937" y="4053"/>
                            <a:chExt cx="7262" cy="9543"/>
                          </a:xfrm>
                          <a:effectLst/>
                        </wpg:grpSpPr>
                        <wps:wsp>
                          <wps:cNvPr id="4" name="直接连接符 4"/>
                          <wps:cNvCnPr>
                            <a:stCxn id="176" idx="3"/>
                            <a:endCxn id="147" idx="1"/>
                          </wps:cNvCnPr>
                          <wps:spPr>
                            <a:xfrm>
                              <a:off x="10505" y="6742"/>
                              <a:ext cx="1" cy="589"/>
                            </a:xfrm>
                            <a:prstGeom prst="line">
                              <a:avLst/>
                            </a:prstGeom>
                            <a:ln w="9525" cap="flat" cmpd="sng">
                              <a:solidFill>
                                <a:srgbClr val="000000"/>
                              </a:solidFill>
                              <a:prstDash val="solid"/>
                              <a:headEnd type="none" w="med" len="med"/>
                              <a:tailEnd type="arrow" w="med" len="med"/>
                            </a:ln>
                            <a:effectLst/>
                          </wps:spPr>
                          <wps:bodyPr upright="1"/>
                        </wps:wsp>
                        <wps:wsp>
                          <wps:cNvPr id="5" name="圆角矩形 5"/>
                          <wps:cNvSpPr/>
                          <wps:spPr>
                            <a:xfrm>
                              <a:off x="6937" y="4053"/>
                              <a:ext cx="7262" cy="101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具备条件且有意愿开展家庭病床服务的医疗机构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ascii="仿宋_GB2312" w:hAnsi="仿宋_GB2312" w:eastAsia="仿宋_GB2312" w:cs="仿宋_GB2312"/>
                                    <w:b w:val="0"/>
                                    <w:bCs w:val="0"/>
                                    <w:color w:val="auto"/>
                                    <w:kern w:val="2"/>
                                    <w:sz w:val="28"/>
                                    <w:szCs w:val="28"/>
                                    <w:u w:val="none"/>
                                    <w:lang w:val="en-US" w:eastAsia="zh-CN" w:bidi="ar-SA"/>
                                  </w:rPr>
                                  <w:t>向所在区县（市）</w:t>
                                </w:r>
                                <w:r>
                                  <w:rPr>
                                    <w:rFonts w:hint="eastAsia" w:ascii="仿宋_GB2312" w:hAnsi="仿宋_GB2312" w:eastAsia="仿宋_GB2312" w:cs="仿宋_GB2312"/>
                                    <w:b w:val="0"/>
                                    <w:bCs w:val="0"/>
                                    <w:color w:val="auto"/>
                                    <w:sz w:val="28"/>
                                    <w:szCs w:val="28"/>
                                    <w:u w:val="none"/>
                                    <w:lang w:val="en-US" w:eastAsia="zh-CN"/>
                                  </w:rPr>
                                  <w:t>卫生健康部门提出申请</w:t>
                                </w:r>
                              </w:p>
                            </w:txbxContent>
                          </wps:txbx>
                          <wps:bodyPr upright="1"/>
                        </wps:wsp>
                        <wps:wsp>
                          <wps:cNvPr id="6" name="圆角矩形 6"/>
                          <wps:cNvSpPr/>
                          <wps:spPr>
                            <a:xfrm>
                              <a:off x="6997" y="5693"/>
                              <a:ext cx="7177" cy="1046"/>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区县（市）卫健部门指派辖区家庭病床服务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质量控制专家组对申请的医疗机构进行现场评估</w:t>
                                </w:r>
                              </w:p>
                            </w:txbxContent>
                          </wps:txbx>
                          <wps:bodyPr upright="1"/>
                        </wps:wsp>
                        <wps:wsp>
                          <wps:cNvPr id="19" name="直接连接符 8"/>
                          <wps:cNvCnPr>
                            <a:stCxn id="176" idx="3"/>
                            <a:endCxn id="147" idx="1"/>
                          </wps:cNvCnPr>
                          <wps:spPr>
                            <a:xfrm>
                              <a:off x="10490" y="8110"/>
                              <a:ext cx="2" cy="546"/>
                            </a:xfrm>
                            <a:prstGeom prst="line">
                              <a:avLst/>
                            </a:prstGeom>
                            <a:ln w="9525" cap="flat" cmpd="sng">
                              <a:solidFill>
                                <a:srgbClr val="000000"/>
                              </a:solidFill>
                              <a:prstDash val="solid"/>
                              <a:headEnd type="none" w="med" len="med"/>
                              <a:tailEnd type="arrow" w="med" len="med"/>
                            </a:ln>
                            <a:effectLst/>
                          </wps:spPr>
                          <wps:bodyPr upright="1"/>
                        </wps:wsp>
                        <wps:wsp>
                          <wps:cNvPr id="20" name="圆角矩形 9"/>
                          <wps:cNvSpPr/>
                          <wps:spPr>
                            <a:xfrm>
                              <a:off x="7020" y="7353"/>
                              <a:ext cx="7160" cy="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60" w:lineRule="auto"/>
                                  <w:jc w:val="center"/>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评估结果于2日内上报至区县（市）卫健部门</w:t>
                                </w:r>
                              </w:p>
                            </w:txbxContent>
                          </wps:txbx>
                          <wps:bodyPr upright="1"/>
                        </wps:wsp>
                        <wps:wsp>
                          <wps:cNvPr id="22" name="直接连接符 11"/>
                          <wps:cNvCnPr>
                            <a:stCxn id="176" idx="3"/>
                            <a:endCxn id="147" idx="1"/>
                          </wps:cNvCnPr>
                          <wps:spPr>
                            <a:xfrm>
                              <a:off x="10533" y="5092"/>
                              <a:ext cx="1" cy="605"/>
                            </a:xfrm>
                            <a:prstGeom prst="line">
                              <a:avLst/>
                            </a:prstGeom>
                            <a:ln w="9525" cap="flat" cmpd="sng">
                              <a:solidFill>
                                <a:srgbClr val="000000"/>
                              </a:solidFill>
                              <a:prstDash val="solid"/>
                              <a:headEnd type="none" w="med" len="med"/>
                              <a:tailEnd type="arrow" w="med" len="med"/>
                            </a:ln>
                            <a:effectLst/>
                          </wps:spPr>
                          <wps:bodyPr upright="1"/>
                        </wps:wsp>
                        <wps:wsp>
                          <wps:cNvPr id="23" name="圆角矩形 12"/>
                          <wps:cNvSpPr/>
                          <wps:spPr>
                            <a:xfrm>
                              <a:off x="6946" y="11853"/>
                              <a:ext cx="7193" cy="174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pPr>
                                <w:r>
                                  <w:rPr>
                                    <w:rFonts w:hint="eastAsia" w:ascii="仿宋_GB2312" w:hAnsi="仿宋_GB2312" w:eastAsia="仿宋_GB2312" w:cs="仿宋_GB2312"/>
                                    <w:sz w:val="24"/>
                                    <w:szCs w:val="32"/>
                                    <w:lang w:val="en-US" w:eastAsia="zh-CN"/>
                                  </w:rPr>
                                  <w:t>发文后2个工作日内，区县（市）卫健部门应将文件通报至相关医疗机构《医疗机构执业许可证》发证机关，由发证机关审批部门在医疗机构信息库中服务形式栏目维护增加“家庭病床”服务，办理情况于2个工作日内反馈至发文机关。</w:t>
                                </w:r>
                              </w:p>
                            </w:txbxContent>
                          </wps:txbx>
                          <wps:bodyPr upright="1"/>
                        </wps:wsp>
                        <wps:wsp>
                          <wps:cNvPr id="24" name="圆角矩形 17"/>
                          <wps:cNvSpPr/>
                          <wps:spPr>
                            <a:xfrm>
                              <a:off x="7048" y="8678"/>
                              <a:ext cx="7129" cy="260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6"/>
                                  <w:keepNext w:val="0"/>
                                  <w:keepLines w:val="0"/>
                                  <w:pageBreakBefore w:val="0"/>
                                  <w:widowControl w:val="0"/>
                                  <w:kinsoku/>
                                  <w:wordWrap/>
                                  <w:overflowPunct/>
                                  <w:topLinePunct w:val="0"/>
                                  <w:autoSpaceDE w:val="0"/>
                                  <w:autoSpaceDN w:val="0"/>
                                  <w:bidi w:val="0"/>
                                  <w:adjustRightInd w:val="0"/>
                                  <w:snapToGrid w:val="0"/>
                                  <w:spacing w:after="0" w:afterLines="0" w:line="360" w:lineRule="exact"/>
                                  <w:ind w:left="0" w:leftChars="0" w:firstLine="480" w:firstLineChars="200"/>
                                  <w:textAlignment w:val="auto"/>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kern w:val="2"/>
                                    <w:sz w:val="24"/>
                                    <w:szCs w:val="32"/>
                                    <w:lang w:val="en-US" w:eastAsia="zh-CN" w:bidi="ar-SA"/>
                                  </w:rPr>
                                  <w:t>区县（市）卫健部门会同医保部门7月底前出台文件公布首批开展家庭病床服务试点工作的医疗机构名称单，纳入名单的医疗机构自发文之日起5个工作日内应与签订医保服务协议的医保经办机构补充签订家庭病床服务相关协议。</w:t>
                                </w:r>
                                <w:r>
                                  <w:rPr>
                                    <w:rFonts w:hint="eastAsia" w:ascii="仿宋_GB2312" w:hAnsi="仿宋_GB2312" w:eastAsia="仿宋_GB2312" w:cs="仿宋_GB2312"/>
                                    <w:b w:val="0"/>
                                    <w:bCs w:val="0"/>
                                    <w:color w:val="auto"/>
                                    <w:kern w:val="2"/>
                                    <w:sz w:val="24"/>
                                    <w:szCs w:val="24"/>
                                    <w:u w:val="none"/>
                                    <w:lang w:val="en-US" w:eastAsia="zh-CN" w:bidi="ar-SA"/>
                                  </w:rPr>
                                  <w:t>（自2024年起，医保部门在与已通过评估合格的医疗机构签订基本医疗保险定点机构协议时，应在其协议中明确家庭病床服务相关内容）</w:t>
                                </w:r>
                              </w:p>
                              <w:p>
                                <w:pPr>
                                  <w:rPr>
                                    <w:rFonts w:hint="eastAsia"/>
                                    <w:lang w:val="en-US" w:eastAsia="zh-CN"/>
                                  </w:rPr>
                                </w:pPr>
                              </w:p>
                            </w:txbxContent>
                          </wps:txbx>
                          <wps:bodyPr upright="1"/>
                        </wps:wsp>
                        <wps:wsp>
                          <wps:cNvPr id="25" name="直接连接符 18"/>
                          <wps:cNvCnPr>
                            <a:stCxn id="176" idx="3"/>
                            <a:endCxn id="147" idx="1"/>
                          </wps:cNvCnPr>
                          <wps:spPr>
                            <a:xfrm flipH="1">
                              <a:off x="10518" y="11311"/>
                              <a:ext cx="1" cy="510"/>
                            </a:xfrm>
                            <a:prstGeom prst="line">
                              <a:avLst/>
                            </a:prstGeom>
                            <a:ln w="9525" cap="flat" cmpd="sng">
                              <a:solidFill>
                                <a:srgbClr val="000000"/>
                              </a:solidFill>
                              <a:prstDash val="solid"/>
                              <a:headEnd type="none" w="med" len="med"/>
                              <a:tailEnd type="arrow" w="med" len="med"/>
                            </a:ln>
                            <a:effectLst/>
                          </wps:spPr>
                          <wps:bodyPr upright="1"/>
                        </wps:wsp>
                      </wpg:grpSp>
                      <wps:wsp>
                        <wps:cNvPr id="17" name="直接连接符 17"/>
                        <wps:cNvCnPr>
                          <a:stCxn id="176" idx="3"/>
                          <a:endCxn id="147" idx="1"/>
                        </wps:cNvCnPr>
                        <wps:spPr>
                          <a:xfrm flipH="1">
                            <a:off x="7657" y="166935"/>
                            <a:ext cx="1" cy="510"/>
                          </a:xfrm>
                          <a:prstGeom prst="line">
                            <a:avLst/>
                          </a:prstGeom>
                          <a:ln w="9525" cap="flat" cmpd="sng">
                            <a:solidFill>
                              <a:srgbClr val="000000"/>
                            </a:solidFill>
                            <a:prstDash val="solid"/>
                            <a:headEnd type="none" w="med" len="med"/>
                            <a:tailEnd type="arrow" w="med" len="med"/>
                          </a:ln>
                          <a:effectLst/>
                        </wps:spPr>
                        <wps:bodyPr upright="1"/>
                      </wps:wsp>
                      <wps:wsp>
                        <wps:cNvPr id="18" name="圆角矩形 18"/>
                        <wps:cNvSpPr/>
                        <wps:spPr>
                          <a:xfrm>
                            <a:off x="4068" y="167482"/>
                            <a:ext cx="7193" cy="118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首批试点医疗机构名单公布后，区县（市）根据工作实际每1-3个月开展一次集中评估，并及时公布开展家庭病床服务试点工作的医疗机构名单。</w:t>
                              </w:r>
                            </w:p>
                          </w:txbxContent>
                        </wps:txbx>
                        <wps:bodyPr upright="1"/>
                      </wps:wsp>
                    </wpg:wgp>
                  </a:graphicData>
                </a:graphic>
              </wp:anchor>
            </w:drawing>
          </mc:Choice>
          <mc:Fallback>
            <w:pict>
              <v:group id="_x0000_s1026" o:spid="_x0000_s1026" o:spt="203" style="position:absolute;left:0pt;margin-left:28.15pt;margin-top:2.75pt;height:567.05pt;width:363.1pt;z-index:251670528;mso-width-relative:page;mso-height-relative:page;" coordorigin="4032,157325" coordsize="7262,11341" o:gfxdata="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&#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HR90izZAAAACQEAAA8AAAAAAAAAAQAgAAAAIgAAAGRy&#10;cy9kb3ducmV2LnhtbFBLAQIUABQAAAAIAIdO4kDY5DlNsAQAACcfAAAOAAAAAAAAAAEAIAAAACgB&#10;AABkcnMvZTJvRG9jLnhtbFBLBQYAAAAABgAGAFkBAABKCAAAAAA=&#10;">
                <o:lock v:ext="edit" aspectratio="f"/>
                <v:group id="_x0000_s1026" o:spid="_x0000_s1026" o:spt="203" style="position:absolute;left:4032;top:157325;height:9543;width:7262;" coordorigin="6937,4053" coordsize="7262,954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0505;top:6742;height:589;width:1;" filled="f" stroked="t" coordsize="21600,21600" o:gfxdata="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Jmvb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oundrect id="_x0000_s1026" o:spid="_x0000_s1026" o:spt="2" style="position:absolute;left:6937;top:4053;height:1013;width:7262;"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具备条件且有意愿开展家庭病床服务的医疗机构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ascii="仿宋_GB2312" w:hAnsi="仿宋_GB2312" w:eastAsia="仿宋_GB2312" w:cs="仿宋_GB2312"/>
                              <w:b w:val="0"/>
                              <w:bCs w:val="0"/>
                              <w:color w:val="auto"/>
                              <w:kern w:val="2"/>
                              <w:sz w:val="28"/>
                              <w:szCs w:val="28"/>
                              <w:u w:val="none"/>
                              <w:lang w:val="en-US" w:eastAsia="zh-CN" w:bidi="ar-SA"/>
                            </w:rPr>
                            <w:t>向所在区县（市）</w:t>
                          </w:r>
                          <w:r>
                            <w:rPr>
                              <w:rFonts w:hint="eastAsia" w:ascii="仿宋_GB2312" w:hAnsi="仿宋_GB2312" w:eastAsia="仿宋_GB2312" w:cs="仿宋_GB2312"/>
                              <w:b w:val="0"/>
                              <w:bCs w:val="0"/>
                              <w:color w:val="auto"/>
                              <w:sz w:val="28"/>
                              <w:szCs w:val="28"/>
                              <w:u w:val="none"/>
                              <w:lang w:val="en-US" w:eastAsia="zh-CN"/>
                            </w:rPr>
                            <w:t>卫生健康部门提出申请</w:t>
                          </w:r>
                        </w:p>
                      </w:txbxContent>
                    </v:textbox>
                  </v:roundrect>
                  <v:roundrect id="_x0000_s1026" o:spid="_x0000_s1026" o:spt="2" style="position:absolute;left:6997;top:5693;height:1046;width:7177;"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区县（市）卫健部门指派辖区家庭病床服务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质量控制专家组对申请的医疗机构进行现场评估</w:t>
                          </w:r>
                        </w:p>
                      </w:txbxContent>
                    </v:textbox>
                  </v:roundrect>
                  <v:line id="直接连接符 8" o:spid="_x0000_s1026" o:spt="20" style="position:absolute;left:10490;top:8110;height:546;width:2;" filled="f" stroked="t" coordsize="21600,21600" o:gfxdata="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1ZJm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oundrect id="圆角矩形 9" o:spid="_x0000_s1026" o:spt="2" style="position:absolute;left:7020;top:7353;height:750;width:7160;" fillcolor="#FFFFFF" filled="t" stroked="t" coordsize="21600,21600" arcsize="0.166666666666667" o:gfxdata="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D+/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360" w:lineRule="auto"/>
                            <w:jc w:val="center"/>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评估结果于2日内上报至区县（市）卫健部门</w:t>
                          </w:r>
                        </w:p>
                      </w:txbxContent>
                    </v:textbox>
                  </v:roundrect>
                  <v:line id="直接连接符 11" o:spid="_x0000_s1026" o:spt="20" style="position:absolute;left:10533;top:5092;height:605;width:1;" filled="f" stroked="t" coordsize="21600,21600" o:gfxdata="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08V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oundrect id="圆角矩形 12" o:spid="_x0000_s1026" o:spt="2" style="position:absolute;left:6946;top:11853;height:1743;width:7193;"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pPr>
                          <w:r>
                            <w:rPr>
                              <w:rFonts w:hint="eastAsia" w:ascii="仿宋_GB2312" w:hAnsi="仿宋_GB2312" w:eastAsia="仿宋_GB2312" w:cs="仿宋_GB2312"/>
                              <w:sz w:val="24"/>
                              <w:szCs w:val="32"/>
                              <w:lang w:val="en-US" w:eastAsia="zh-CN"/>
                            </w:rPr>
                            <w:t>发文后2个工作日内，区县（市）卫健部门应将文件通报至相关医疗机构《医疗机构执业许可证》发证机关，由发证机关审批部门在医疗机构信息库中服务形式栏目维护增加“家庭病床”服务，办理情况于2个工作日内反馈至发文机关。</w:t>
                          </w:r>
                        </w:p>
                      </w:txbxContent>
                    </v:textbox>
                  </v:roundrect>
                  <v:roundrect id="圆角矩形 17" o:spid="_x0000_s1026" o:spt="2" style="position:absolute;left:7048;top:8678;height:2604;width:7129;"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16"/>
                            <w:keepNext w:val="0"/>
                            <w:keepLines w:val="0"/>
                            <w:pageBreakBefore w:val="0"/>
                            <w:widowControl w:val="0"/>
                            <w:kinsoku/>
                            <w:wordWrap/>
                            <w:overflowPunct/>
                            <w:topLinePunct w:val="0"/>
                            <w:autoSpaceDE w:val="0"/>
                            <w:autoSpaceDN w:val="0"/>
                            <w:bidi w:val="0"/>
                            <w:adjustRightInd w:val="0"/>
                            <w:snapToGrid w:val="0"/>
                            <w:spacing w:after="0" w:afterLines="0" w:line="360" w:lineRule="exact"/>
                            <w:ind w:left="0" w:leftChars="0" w:firstLine="480" w:firstLineChars="200"/>
                            <w:textAlignment w:val="auto"/>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kern w:val="2"/>
                              <w:sz w:val="24"/>
                              <w:szCs w:val="32"/>
                              <w:lang w:val="en-US" w:eastAsia="zh-CN" w:bidi="ar-SA"/>
                            </w:rPr>
                            <w:t>区县（市）卫健部门会同医保部门7月底前出台文件公布首批开展家庭病床服务试点工作的医疗机构名称单，纳入名单的医疗机构自发文之日起5个工作日内应与签订医保服务协议的医保经办机构补充签订家庭病床服务相关协议。</w:t>
                          </w:r>
                          <w:r>
                            <w:rPr>
                              <w:rFonts w:hint="eastAsia" w:ascii="仿宋_GB2312" w:hAnsi="仿宋_GB2312" w:eastAsia="仿宋_GB2312" w:cs="仿宋_GB2312"/>
                              <w:b w:val="0"/>
                              <w:bCs w:val="0"/>
                              <w:color w:val="auto"/>
                              <w:kern w:val="2"/>
                              <w:sz w:val="24"/>
                              <w:szCs w:val="24"/>
                              <w:u w:val="none"/>
                              <w:lang w:val="en-US" w:eastAsia="zh-CN" w:bidi="ar-SA"/>
                            </w:rPr>
                            <w:t>（自2024年起，医保部门在与已通过评估合格的医疗机构签订基本医疗保险定点机构协议时，应在其协议中明确家庭病床服务相关内容）</w:t>
                          </w:r>
                        </w:p>
                        <w:p>
                          <w:pPr>
                            <w:rPr>
                              <w:rFonts w:hint="eastAsia"/>
                              <w:lang w:val="en-US" w:eastAsia="zh-CN"/>
                            </w:rPr>
                          </w:pPr>
                        </w:p>
                      </w:txbxContent>
                    </v:textbox>
                  </v:roundrect>
                  <v:line id="直接连接符 18" o:spid="_x0000_s1026" o:spt="20" style="position:absolute;left:10518;top:11311;flip:x;height:510;width:1;" filled="f" stroked="t" coordsize="21600,21600" o:gfxdata="UEsDBAoAAAAAAIdO4kAAAAAAAAAAAAAAAAAEAAAAZHJzL1BLAwQUAAAACACHTuJAtlNPSr0AAADb&#10;AAAADwAAAGRycy9kb3ducmV2LnhtbEWPQWvCQBSE74X+h+UVvEjdKNi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U09K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line id="_x0000_s1026" o:spid="_x0000_s1026" o:spt="20" style="position:absolute;left:7657;top:166935;flip:x;height:510;width:1;" filled="f" stroked="t" coordsize="21600,21600" o:gfxdata="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ob4b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roundrect id="_x0000_s1026" o:spid="_x0000_s1026" o:spt="2" style="position:absolute;left:4068;top:167482;height:1184;width:7193;" fillcolor="#FFFFFF" filled="t" stroked="t" coordsize="21600,21600" arcsize="0.166666666666667" o:gfxdata="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KW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首批试点医疗机构名单公布后，区县（市）根据工作实际每1-3个月开展一次集中评估，并及时公布开展家庭病床服务试点工作的医疗机构名单。</w:t>
                        </w:r>
                      </w:p>
                    </w:txbxContent>
                  </v:textbox>
                </v:roundrect>
              </v:group>
            </w:pict>
          </mc:Fallback>
        </mc:AlternateContent>
      </w:r>
      <w:r>
        <w:rPr>
          <w:rFonts w:hint="eastAsia"/>
          <w:b w:val="0"/>
          <w:bCs w:val="0"/>
          <w:color w:val="000000"/>
          <w:sz w:val="24"/>
          <w:szCs w:val="32"/>
          <w:highlight w:val="none"/>
          <w:lang w:val="en-US" w:eastAsia="zh-CN"/>
        </w:rPr>
        <w:t xml:space="preserve">                                                      </w:t>
      </w:r>
      <w:r>
        <w:rPr>
          <w:rFonts w:hint="eastAsia"/>
          <w:b w:val="0"/>
          <w:bCs w:val="0"/>
          <w:color w:val="000000"/>
          <w:sz w:val="24"/>
          <w:highlight w:val="none"/>
          <w:lang w:val="en-US" w:eastAsia="zh-CN"/>
        </w:rPr>
        <w:t xml:space="preserve">   </w:t>
      </w:r>
    </w:p>
    <w:p>
      <w:pPr>
        <w:rPr>
          <w:rFonts w:hint="eastAsia"/>
          <w:b w:val="0"/>
          <w:bCs w:val="0"/>
          <w:color w:val="000000"/>
          <w:sz w:val="24"/>
          <w:szCs w:val="32"/>
          <w:highlight w:val="none"/>
        </w:rPr>
      </w:pPr>
    </w:p>
    <w:p>
      <w:pPr>
        <w:tabs>
          <w:tab w:val="left" w:pos="6413"/>
        </w:tabs>
        <w:rPr>
          <w:rFonts w:hint="eastAsia" w:eastAsia="宋体"/>
          <w:b w:val="0"/>
          <w:bCs w:val="0"/>
          <w:color w:val="000000"/>
          <w:sz w:val="24"/>
          <w:szCs w:val="32"/>
          <w:highlight w:val="none"/>
          <w:lang w:eastAsia="zh-CN"/>
        </w:rPr>
      </w:pPr>
      <w:r>
        <w:rPr>
          <w:rFonts w:hint="eastAsia"/>
          <w:b w:val="0"/>
          <w:bCs w:val="0"/>
          <w:color w:val="000000"/>
          <w:sz w:val="24"/>
          <w:szCs w:val="32"/>
          <w:highlight w:val="none"/>
          <w:lang w:eastAsia="zh-CN"/>
        </w:rPr>
        <w:tab/>
      </w:r>
    </w:p>
    <w:p>
      <w:pPr>
        <w:rPr>
          <w:rFonts w:hint="eastAsia"/>
          <w:b w:val="0"/>
          <w:bCs w:val="0"/>
          <w:color w:val="000000"/>
          <w:sz w:val="24"/>
          <w:szCs w:val="32"/>
          <w:highlight w:val="none"/>
        </w:rPr>
      </w:pPr>
    </w:p>
    <w:p>
      <w:pPr>
        <w:rPr>
          <w:rFonts w:hint="eastAsia"/>
          <w:b w:val="0"/>
          <w:bCs w:val="0"/>
          <w:color w:val="000000"/>
          <w:sz w:val="24"/>
          <w:szCs w:val="32"/>
          <w:highlight w:val="none"/>
        </w:rPr>
      </w:pPr>
    </w:p>
    <w:p>
      <w:pPr>
        <w:rPr>
          <w:rFonts w:hint="eastAsia"/>
          <w:b w:val="0"/>
          <w:bCs w:val="0"/>
          <w:color w:val="000000"/>
          <w:sz w:val="24"/>
          <w:szCs w:val="32"/>
          <w:highlight w:val="none"/>
        </w:rPr>
      </w:pPr>
    </w:p>
    <w:p>
      <w:pPr>
        <w:rPr>
          <w:rFonts w:hint="eastAsia"/>
          <w:b w:val="0"/>
          <w:bCs w:val="0"/>
          <w:color w:val="000000"/>
          <w:sz w:val="24"/>
          <w:szCs w:val="32"/>
          <w:highlight w:val="none"/>
        </w:rPr>
      </w:pPr>
    </w:p>
    <w:p>
      <w:pPr>
        <w:rPr>
          <w:rFonts w:hint="eastAsia"/>
          <w:b w:val="0"/>
          <w:bCs w:val="0"/>
          <w:color w:val="000000"/>
          <w:sz w:val="24"/>
          <w:szCs w:val="32"/>
          <w:highlight w:val="none"/>
        </w:rPr>
      </w:pPr>
    </w:p>
    <w:p>
      <w:pPr>
        <w:rPr>
          <w:rFonts w:hint="eastAsia"/>
          <w:b w:val="0"/>
          <w:bCs w:val="0"/>
          <w:color w:val="000000"/>
          <w:sz w:val="24"/>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rPr>
          <w:rFonts w:hint="eastAsia" w:ascii="黑体" w:hAnsi="黑体" w:eastAsia="黑体"/>
          <w:b w:val="0"/>
          <w:bCs w:val="0"/>
          <w:color w:val="000000"/>
          <w:sz w:val="32"/>
          <w:szCs w:val="32"/>
          <w:highlight w:val="none"/>
        </w:rPr>
      </w:pPr>
    </w:p>
    <w:p>
      <w:pPr>
        <w:pStyle w:val="11"/>
        <w:keepNext w:val="0"/>
        <w:keepLines w:val="0"/>
        <w:pageBreakBefore w:val="0"/>
        <w:kinsoku/>
        <w:overflowPunct/>
        <w:topLinePunct w:val="0"/>
        <w:bidi w:val="0"/>
        <w:adjustRightInd w:val="0"/>
        <w:snapToGrid w:val="0"/>
        <w:spacing w:line="580" w:lineRule="exact"/>
        <w:rPr>
          <w:rFonts w:hint="default" w:ascii="方正小标宋简体" w:hAnsi="方正小标宋简体" w:eastAsia="方正小标宋简体" w:cs="方正小标宋简体"/>
          <w:b w:val="0"/>
          <w:bCs w:val="0"/>
          <w:color w:val="000000"/>
          <w:kern w:val="2"/>
          <w:sz w:val="44"/>
          <w:szCs w:val="44"/>
          <w:highlight w:val="none"/>
          <w:u w:val="none"/>
          <w:lang w:val="en-US" w:eastAsia="zh-CN" w:bidi="ar-SA"/>
        </w:rPr>
      </w:pPr>
    </w:p>
    <w:p>
      <w:pPr>
        <w:jc w:val="center"/>
        <w:rPr>
          <w:rFonts w:hint="default" w:ascii="方正小标宋简体" w:hAnsi="方正小标宋简体" w:eastAsia="方正小标宋简体" w:cs="方正小标宋简体"/>
          <w:b w:val="0"/>
          <w:bCs w:val="0"/>
          <w:color w:val="000000"/>
          <w:kern w:val="2"/>
          <w:sz w:val="44"/>
          <w:szCs w:val="44"/>
          <w:highlight w:val="none"/>
          <w:u w:val="none"/>
          <w:lang w:val="en-US" w:eastAsia="zh-CN" w:bidi="ar-SA"/>
        </w:rPr>
      </w:pPr>
      <w:bookmarkStart w:id="0" w:name="_GoBack"/>
      <w:bookmarkEnd w:id="0"/>
    </w:p>
    <w:sectPr>
      <w:headerReference r:id="rId3" w:type="default"/>
      <w:footerReference r:id="rId5" w:type="default"/>
      <w:headerReference r:id="rId4" w:type="even"/>
      <w:footerReference r:id="rId6" w:type="even"/>
      <w:pgSz w:w="11906" w:h="16838"/>
      <w:pgMar w:top="1440" w:right="1474" w:bottom="1440" w:left="1587" w:header="567" w:footer="1361"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evenAndOddHeaders w:val="1"/>
  <w:drawingGridHorizontalSpacing w:val="105"/>
  <w:drawingGridVerticalSpacing w:val="164"/>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MzExYzU2MjAzMGZlODFkMGFmZWQwNGE4MzQzNTQifQ=="/>
  </w:docVars>
  <w:rsids>
    <w:rsidRoot w:val="007118C8"/>
    <w:rsid w:val="000251C7"/>
    <w:rsid w:val="00035801"/>
    <w:rsid w:val="001A0061"/>
    <w:rsid w:val="001D1F0E"/>
    <w:rsid w:val="002A300D"/>
    <w:rsid w:val="00340FC7"/>
    <w:rsid w:val="003B6EEB"/>
    <w:rsid w:val="0046324B"/>
    <w:rsid w:val="00485C7F"/>
    <w:rsid w:val="004F7575"/>
    <w:rsid w:val="00644EDB"/>
    <w:rsid w:val="007118C8"/>
    <w:rsid w:val="007453B4"/>
    <w:rsid w:val="007F39A0"/>
    <w:rsid w:val="0095686B"/>
    <w:rsid w:val="00965AC9"/>
    <w:rsid w:val="00982ED1"/>
    <w:rsid w:val="00A4454A"/>
    <w:rsid w:val="00BA07DD"/>
    <w:rsid w:val="00BA2F90"/>
    <w:rsid w:val="00BD7400"/>
    <w:rsid w:val="00DA5EA9"/>
    <w:rsid w:val="00E008DB"/>
    <w:rsid w:val="00E30FB0"/>
    <w:rsid w:val="00EB7FEC"/>
    <w:rsid w:val="01644B24"/>
    <w:rsid w:val="0239559B"/>
    <w:rsid w:val="04152A87"/>
    <w:rsid w:val="04E0362D"/>
    <w:rsid w:val="055E34CA"/>
    <w:rsid w:val="05A95F0C"/>
    <w:rsid w:val="06E64A56"/>
    <w:rsid w:val="09422419"/>
    <w:rsid w:val="0A7168AB"/>
    <w:rsid w:val="0B1D76CD"/>
    <w:rsid w:val="0B2448D2"/>
    <w:rsid w:val="0B472614"/>
    <w:rsid w:val="0BBF226F"/>
    <w:rsid w:val="0BC515AC"/>
    <w:rsid w:val="0C3E79DE"/>
    <w:rsid w:val="0CC64C47"/>
    <w:rsid w:val="11924C5D"/>
    <w:rsid w:val="13A175C6"/>
    <w:rsid w:val="13CA4229"/>
    <w:rsid w:val="1436533F"/>
    <w:rsid w:val="15A85AA3"/>
    <w:rsid w:val="163E08D4"/>
    <w:rsid w:val="179E0F8A"/>
    <w:rsid w:val="184F72C4"/>
    <w:rsid w:val="192155F7"/>
    <w:rsid w:val="1A1A4BEB"/>
    <w:rsid w:val="1BB53172"/>
    <w:rsid w:val="1C434979"/>
    <w:rsid w:val="1C934EE3"/>
    <w:rsid w:val="1D330F90"/>
    <w:rsid w:val="1D791FC7"/>
    <w:rsid w:val="1DC42CB2"/>
    <w:rsid w:val="1E177E02"/>
    <w:rsid w:val="20214B69"/>
    <w:rsid w:val="20484530"/>
    <w:rsid w:val="207D3C23"/>
    <w:rsid w:val="22F86A22"/>
    <w:rsid w:val="24050412"/>
    <w:rsid w:val="24AF36A4"/>
    <w:rsid w:val="253622CE"/>
    <w:rsid w:val="2562582F"/>
    <w:rsid w:val="258B4E0E"/>
    <w:rsid w:val="25923BF7"/>
    <w:rsid w:val="26183ED4"/>
    <w:rsid w:val="261F1C9C"/>
    <w:rsid w:val="263C4C0F"/>
    <w:rsid w:val="264A6D49"/>
    <w:rsid w:val="27B27168"/>
    <w:rsid w:val="283261F1"/>
    <w:rsid w:val="286F2FA1"/>
    <w:rsid w:val="288B1A5C"/>
    <w:rsid w:val="28D36FBE"/>
    <w:rsid w:val="2996350A"/>
    <w:rsid w:val="2B71516D"/>
    <w:rsid w:val="2C4864C2"/>
    <w:rsid w:val="2C751E12"/>
    <w:rsid w:val="2C7A5B1D"/>
    <w:rsid w:val="2FE37ED3"/>
    <w:rsid w:val="325C0DD9"/>
    <w:rsid w:val="329D4ADB"/>
    <w:rsid w:val="33563C3C"/>
    <w:rsid w:val="34B5634E"/>
    <w:rsid w:val="350042C5"/>
    <w:rsid w:val="37627BAB"/>
    <w:rsid w:val="38F70415"/>
    <w:rsid w:val="399E5C14"/>
    <w:rsid w:val="39FE5FB7"/>
    <w:rsid w:val="3A3264F3"/>
    <w:rsid w:val="3A7252F7"/>
    <w:rsid w:val="3B7A7165"/>
    <w:rsid w:val="3C590877"/>
    <w:rsid w:val="3CFC2621"/>
    <w:rsid w:val="3D33D5B3"/>
    <w:rsid w:val="3E411B86"/>
    <w:rsid w:val="3EEB74AD"/>
    <w:rsid w:val="42735872"/>
    <w:rsid w:val="42EF5B8D"/>
    <w:rsid w:val="42F025B9"/>
    <w:rsid w:val="43994115"/>
    <w:rsid w:val="43AB0965"/>
    <w:rsid w:val="43B605C1"/>
    <w:rsid w:val="43C10157"/>
    <w:rsid w:val="44B90D95"/>
    <w:rsid w:val="44E24097"/>
    <w:rsid w:val="45336100"/>
    <w:rsid w:val="467E1C73"/>
    <w:rsid w:val="4929086F"/>
    <w:rsid w:val="495E0224"/>
    <w:rsid w:val="49987388"/>
    <w:rsid w:val="4A146C49"/>
    <w:rsid w:val="4AAF17B6"/>
    <w:rsid w:val="4B73483F"/>
    <w:rsid w:val="4CFE3D79"/>
    <w:rsid w:val="4D6C7781"/>
    <w:rsid w:val="4E534EA4"/>
    <w:rsid w:val="4E886911"/>
    <w:rsid w:val="4EA86AD7"/>
    <w:rsid w:val="4F24547F"/>
    <w:rsid w:val="4F2D0C44"/>
    <w:rsid w:val="518A459C"/>
    <w:rsid w:val="51A828B7"/>
    <w:rsid w:val="51D71AF9"/>
    <w:rsid w:val="52350508"/>
    <w:rsid w:val="5315517E"/>
    <w:rsid w:val="537D6407"/>
    <w:rsid w:val="542C23A0"/>
    <w:rsid w:val="543C6347"/>
    <w:rsid w:val="54404CD9"/>
    <w:rsid w:val="54932F24"/>
    <w:rsid w:val="54E616AD"/>
    <w:rsid w:val="553F6E0E"/>
    <w:rsid w:val="560505AC"/>
    <w:rsid w:val="566239A8"/>
    <w:rsid w:val="56B51472"/>
    <w:rsid w:val="56CE67CE"/>
    <w:rsid w:val="5748116E"/>
    <w:rsid w:val="58BC3175"/>
    <w:rsid w:val="58BE6A67"/>
    <w:rsid w:val="5AE64F91"/>
    <w:rsid w:val="5B086286"/>
    <w:rsid w:val="5B710800"/>
    <w:rsid w:val="5BA327CF"/>
    <w:rsid w:val="5CE47D30"/>
    <w:rsid w:val="5D5D43CF"/>
    <w:rsid w:val="5DDC4DA3"/>
    <w:rsid w:val="602F0A25"/>
    <w:rsid w:val="602F0FB7"/>
    <w:rsid w:val="60902CEE"/>
    <w:rsid w:val="60BC4FBE"/>
    <w:rsid w:val="60D333AC"/>
    <w:rsid w:val="60D5312D"/>
    <w:rsid w:val="614701E9"/>
    <w:rsid w:val="616E7CFA"/>
    <w:rsid w:val="61AD5353"/>
    <w:rsid w:val="61AF5DE8"/>
    <w:rsid w:val="62ED348E"/>
    <w:rsid w:val="63415F2F"/>
    <w:rsid w:val="64012D6B"/>
    <w:rsid w:val="64013DED"/>
    <w:rsid w:val="64112F10"/>
    <w:rsid w:val="656B3B5F"/>
    <w:rsid w:val="661809A5"/>
    <w:rsid w:val="66F32BF4"/>
    <w:rsid w:val="67DC44CD"/>
    <w:rsid w:val="68A670CA"/>
    <w:rsid w:val="69BC2B74"/>
    <w:rsid w:val="6B380903"/>
    <w:rsid w:val="6BBF1040"/>
    <w:rsid w:val="6BFB9F19"/>
    <w:rsid w:val="6E6C283E"/>
    <w:rsid w:val="6E6D0EFB"/>
    <w:rsid w:val="6E8A230E"/>
    <w:rsid w:val="6EA04D17"/>
    <w:rsid w:val="6F651C3F"/>
    <w:rsid w:val="6F657496"/>
    <w:rsid w:val="6FFFCE78"/>
    <w:rsid w:val="708E25D1"/>
    <w:rsid w:val="725A1020"/>
    <w:rsid w:val="72830D13"/>
    <w:rsid w:val="731A082C"/>
    <w:rsid w:val="734E7C4F"/>
    <w:rsid w:val="73C86EF4"/>
    <w:rsid w:val="741C3BFA"/>
    <w:rsid w:val="748D5140"/>
    <w:rsid w:val="74FA6C5B"/>
    <w:rsid w:val="75A55A1C"/>
    <w:rsid w:val="76CF5CB4"/>
    <w:rsid w:val="770D5642"/>
    <w:rsid w:val="774F2EF1"/>
    <w:rsid w:val="779B1238"/>
    <w:rsid w:val="77CF4ED2"/>
    <w:rsid w:val="78725770"/>
    <w:rsid w:val="79BA0039"/>
    <w:rsid w:val="7ABF7BA6"/>
    <w:rsid w:val="7AC86E71"/>
    <w:rsid w:val="7B276CEF"/>
    <w:rsid w:val="7B594439"/>
    <w:rsid w:val="7BA81CD5"/>
    <w:rsid w:val="7BFF065C"/>
    <w:rsid w:val="7CB35642"/>
    <w:rsid w:val="7E565BC1"/>
    <w:rsid w:val="7F062A21"/>
    <w:rsid w:val="7F504C30"/>
    <w:rsid w:val="7F6334B0"/>
    <w:rsid w:val="7F896530"/>
    <w:rsid w:val="7FFF1CF0"/>
    <w:rsid w:val="AEBF2EF8"/>
    <w:rsid w:val="BAEB9AB5"/>
    <w:rsid w:val="BF3DF2EB"/>
    <w:rsid w:val="BFF751D0"/>
    <w:rsid w:val="DB3E1841"/>
    <w:rsid w:val="DDFB663F"/>
    <w:rsid w:val="DF395541"/>
    <w:rsid w:val="E3EF1502"/>
    <w:rsid w:val="E53311DF"/>
    <w:rsid w:val="E79FEF0D"/>
    <w:rsid w:val="E7FDA50A"/>
    <w:rsid w:val="EF7BE380"/>
    <w:rsid w:val="F2E22785"/>
    <w:rsid w:val="F775CA07"/>
    <w:rsid w:val="F7DFFA3F"/>
    <w:rsid w:val="FFBDFD55"/>
    <w:rsid w:val="FFFDEE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eastAsia="宋体"/>
      <w:b/>
      <w:bCs/>
      <w:sz w:val="32"/>
      <w:szCs w:val="32"/>
    </w:rPr>
  </w:style>
  <w:style w:type="paragraph" w:customStyle="1" w:styleId="3">
    <w:name w:val="BodyTextIndent"/>
    <w:basedOn w:val="1"/>
    <w:qFormat/>
    <w:uiPriority w:val="0"/>
    <w:pPr>
      <w:spacing w:line="570" w:lineRule="exact"/>
      <w:ind w:firstLine="616" w:firstLineChars="200"/>
    </w:pPr>
    <w:rPr>
      <w:spacing w:val="-6"/>
    </w:rPr>
  </w:style>
  <w:style w:type="paragraph" w:styleId="6">
    <w:name w:val="Normal Indent"/>
    <w:basedOn w:val="1"/>
    <w:next w:val="7"/>
    <w:qFormat/>
    <w:locked/>
    <w:uiPriority w:val="0"/>
    <w:pPr>
      <w:ind w:firstLine="420" w:firstLineChars="200"/>
    </w:pPr>
    <w:rPr>
      <w:rFonts w:ascii="Times New Roman" w:hAnsi="Times New Roman" w:eastAsia="宋体" w:cs="Times New Roman"/>
    </w:rPr>
  </w:style>
  <w:style w:type="paragraph" w:styleId="7">
    <w:name w:val="envelope return"/>
    <w:qFormat/>
    <w:locked/>
    <w:uiPriority w:val="0"/>
    <w:pPr>
      <w:widowControl w:val="0"/>
      <w:snapToGrid w:val="0"/>
      <w:jc w:val="both"/>
    </w:pPr>
    <w:rPr>
      <w:rFonts w:ascii="Arial" w:hAnsi="Arial" w:eastAsia="仿宋_GB2312" w:cs="仿宋_GB2312"/>
      <w:kern w:val="2"/>
      <w:sz w:val="32"/>
      <w:szCs w:val="24"/>
      <w:lang w:val="en-US" w:eastAsia="zh-CN" w:bidi="ar-SA"/>
    </w:rPr>
  </w:style>
  <w:style w:type="paragraph" w:styleId="8">
    <w:name w:val="List Bullet"/>
    <w:basedOn w:val="1"/>
    <w:qFormat/>
    <w:uiPriority w:val="99"/>
    <w:pPr>
      <w:tabs>
        <w:tab w:val="left" w:pos="360"/>
      </w:tabs>
      <w:ind w:left="1080" w:hanging="1080"/>
    </w:pPr>
  </w:style>
  <w:style w:type="paragraph" w:styleId="9">
    <w:name w:val="Body Text"/>
    <w:basedOn w:val="1"/>
    <w:next w:val="1"/>
    <w:link w:val="25"/>
    <w:qFormat/>
    <w:uiPriority w:val="99"/>
    <w:pPr>
      <w:adjustRightInd w:val="0"/>
      <w:snapToGrid w:val="0"/>
      <w:spacing w:line="360" w:lineRule="auto"/>
    </w:pPr>
    <w:rPr>
      <w:b/>
      <w:sz w:val="28"/>
    </w:rPr>
  </w:style>
  <w:style w:type="paragraph" w:styleId="10">
    <w:name w:val="Body Text Indent"/>
    <w:basedOn w:val="1"/>
    <w:next w:val="1"/>
    <w:qFormat/>
    <w:locked/>
    <w:uiPriority w:val="0"/>
    <w:pPr>
      <w:spacing w:after="120" w:afterLines="0" w:afterAutospacing="0"/>
      <w:ind w:left="420" w:leftChars="200"/>
    </w:pPr>
  </w:style>
  <w:style w:type="paragraph" w:styleId="11">
    <w:name w:val="Plain Text"/>
    <w:basedOn w:val="1"/>
    <w:qFormat/>
    <w:locked/>
    <w:uiPriority w:val="0"/>
    <w:pPr>
      <w:spacing w:line="560" w:lineRule="exact"/>
    </w:pPr>
    <w:rPr>
      <w:rFonts w:ascii="宋体" w:hAnsi="Courier New" w:eastAsia="仿宋_GB2312"/>
      <w:sz w:val="32"/>
      <w:szCs w:val="20"/>
    </w:rPr>
  </w:style>
  <w:style w:type="paragraph" w:styleId="12">
    <w:name w:val="Balloon Text"/>
    <w:basedOn w:val="1"/>
    <w:link w:val="26"/>
    <w:semiHidden/>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jc w:val="left"/>
    </w:pPr>
    <w:rPr>
      <w:rFonts w:ascii="宋体" w:hAnsi="宋体" w:cs="宋体"/>
      <w:kern w:val="0"/>
      <w:sz w:val="24"/>
    </w:rPr>
  </w:style>
  <w:style w:type="paragraph" w:styleId="16">
    <w:name w:val="Body Text First Indent 2"/>
    <w:basedOn w:val="10"/>
    <w:next w:val="1"/>
    <w:qFormat/>
    <w:locked/>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Hyperlink"/>
    <w:basedOn w:val="19"/>
    <w:qFormat/>
    <w:uiPriority w:val="99"/>
    <w:rPr>
      <w:rFonts w:cs="Times New Roman"/>
      <w:color w:val="0000FF"/>
      <w:u w:val="single"/>
    </w:rPr>
  </w:style>
  <w:style w:type="paragraph" w:customStyle="1" w:styleId="23">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 w:type="character" w:customStyle="1" w:styleId="24">
    <w:name w:val="Heading 1 Char"/>
    <w:basedOn w:val="19"/>
    <w:link w:val="4"/>
    <w:qFormat/>
    <w:locked/>
    <w:uiPriority w:val="99"/>
    <w:rPr>
      <w:rFonts w:cs="Times New Roman"/>
      <w:b/>
      <w:bCs/>
      <w:kern w:val="44"/>
      <w:sz w:val="44"/>
      <w:szCs w:val="44"/>
    </w:rPr>
  </w:style>
  <w:style w:type="character" w:customStyle="1" w:styleId="25">
    <w:name w:val="Body Text Char"/>
    <w:basedOn w:val="19"/>
    <w:link w:val="9"/>
    <w:semiHidden/>
    <w:qFormat/>
    <w:locked/>
    <w:uiPriority w:val="99"/>
    <w:rPr>
      <w:rFonts w:cs="Times New Roman"/>
      <w:sz w:val="24"/>
      <w:szCs w:val="24"/>
    </w:rPr>
  </w:style>
  <w:style w:type="character" w:customStyle="1" w:styleId="26">
    <w:name w:val="Balloon Text Char"/>
    <w:basedOn w:val="19"/>
    <w:link w:val="12"/>
    <w:semiHidden/>
    <w:qFormat/>
    <w:locked/>
    <w:uiPriority w:val="99"/>
    <w:rPr>
      <w:rFonts w:cs="Times New Roman"/>
      <w:sz w:val="2"/>
    </w:rPr>
  </w:style>
  <w:style w:type="character" w:customStyle="1" w:styleId="27">
    <w:name w:val="Footer Char"/>
    <w:basedOn w:val="19"/>
    <w:link w:val="13"/>
    <w:qFormat/>
    <w:locked/>
    <w:uiPriority w:val="99"/>
    <w:rPr>
      <w:rFonts w:cs="Times New Roman"/>
      <w:kern w:val="2"/>
      <w:sz w:val="18"/>
      <w:szCs w:val="18"/>
    </w:rPr>
  </w:style>
  <w:style w:type="character" w:customStyle="1" w:styleId="28">
    <w:name w:val="Header Char"/>
    <w:basedOn w:val="19"/>
    <w:link w:val="14"/>
    <w:qFormat/>
    <w:locked/>
    <w:uiPriority w:val="99"/>
    <w:rPr>
      <w:rFonts w:cs="Times New Roman"/>
      <w:kern w:val="2"/>
      <w:sz w:val="18"/>
      <w:szCs w:val="18"/>
    </w:rPr>
  </w:style>
  <w:style w:type="paragraph" w:customStyle="1" w:styleId="29">
    <w:name w:val="Char"/>
    <w:basedOn w:val="1"/>
    <w:qFormat/>
    <w:uiPriority w:val="99"/>
    <w:pPr>
      <w:snapToGrid w:val="0"/>
      <w:spacing w:line="360" w:lineRule="auto"/>
      <w:ind w:firstLine="200" w:firstLineChars="200"/>
    </w:pPr>
    <w:rPr>
      <w:szCs w:val="20"/>
    </w:rPr>
  </w:style>
  <w:style w:type="paragraph" w:customStyle="1" w:styleId="30">
    <w:name w:val="Char Char Char1 Char Char Char Char Char Char Char Char Char Char Char Char Char"/>
    <w:basedOn w:val="1"/>
    <w:qFormat/>
    <w:uiPriority w:val="99"/>
    <w:pPr>
      <w:widowControl/>
      <w:spacing w:after="160" w:line="240" w:lineRule="exact"/>
      <w:jc w:val="left"/>
    </w:pPr>
    <w:rPr>
      <w:rFonts w:ascii="Verdana" w:hAnsi="Verdana"/>
      <w:kern w:val="0"/>
      <w:sz w:val="18"/>
      <w:szCs w:val="20"/>
      <w:lang w:eastAsia="en-US"/>
    </w:rPr>
  </w:style>
  <w:style w:type="paragraph" w:customStyle="1" w:styleId="31">
    <w:name w:val="列出段落1"/>
    <w:basedOn w:val="1"/>
    <w:qFormat/>
    <w:uiPriority w:val="99"/>
    <w:pPr>
      <w:ind w:firstLine="420" w:firstLineChars="200"/>
    </w:pPr>
    <w:rPr>
      <w:rFonts w:ascii="Calibri" w:hAnsi="Calibri"/>
      <w:szCs w:val="22"/>
    </w:rPr>
  </w:style>
  <w:style w:type="character" w:customStyle="1" w:styleId="32">
    <w:name w:val="apple-converted-space"/>
    <w:basedOn w:val="19"/>
    <w:qFormat/>
    <w:uiPriority w:val="99"/>
    <w:rPr>
      <w:rFonts w:cs="Times New Roman"/>
    </w:rPr>
  </w:style>
  <w:style w:type="paragraph" w:customStyle="1" w:styleId="33">
    <w:name w:val="三仿"/>
    <w:basedOn w:val="1"/>
    <w:qFormat/>
    <w:uiPriority w:val="0"/>
    <w:pPr>
      <w:autoSpaceDN/>
      <w:snapToGrid w:val="0"/>
      <w:spacing w:line="567" w:lineRule="atLeast"/>
      <w:ind w:firstLine="646"/>
    </w:pPr>
    <w:rPr>
      <w:rFonts w:eastAsia="仿宋_GB2312"/>
      <w:snapToGrid w:val="0"/>
      <w:color w:val="000000"/>
      <w:spacing w:val="6"/>
      <w:sz w:val="32"/>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customStyle="1" w:styleId="35">
    <w:name w:val="tt1"/>
    <w:basedOn w:val="1"/>
    <w:qFormat/>
    <w:uiPriority w:val="0"/>
    <w:pPr>
      <w:widowControl/>
      <w:spacing w:before="100" w:beforeAutospacing="1" w:after="100" w:afterAutospacing="1" w:line="560" w:lineRule="exact"/>
      <w:jc w:val="left"/>
    </w:pPr>
    <w:rPr>
      <w:rFonts w:ascii="宋体" w:hAnsi="宋体" w:eastAsia="仿宋_GB2312"/>
      <w:kern w:val="0"/>
      <w:sz w:val="24"/>
      <w:szCs w:val="20"/>
    </w:rPr>
  </w:style>
  <w:style w:type="character" w:customStyle="1" w:styleId="36">
    <w:name w:val="font31"/>
    <w:basedOn w:val="19"/>
    <w:qFormat/>
    <w:uiPriority w:val="0"/>
    <w:rPr>
      <w:rFonts w:hint="eastAsia" w:ascii="仿宋" w:hAnsi="仿宋" w:eastAsia="仿宋" w:cs="仿宋"/>
      <w:color w:val="000000"/>
      <w:sz w:val="22"/>
      <w:szCs w:val="22"/>
      <w:u w:val="none"/>
    </w:rPr>
  </w:style>
  <w:style w:type="character" w:customStyle="1" w:styleId="37">
    <w:name w:val="font21"/>
    <w:basedOn w:val="19"/>
    <w:qFormat/>
    <w:uiPriority w:val="0"/>
    <w:rPr>
      <w:rFonts w:hint="eastAsia" w:ascii="仿宋" w:hAnsi="仿宋" w:eastAsia="仿宋" w:cs="仿宋"/>
      <w:color w:val="000000"/>
      <w:sz w:val="22"/>
      <w:szCs w:val="22"/>
      <w:u w:val="single"/>
    </w:rPr>
  </w:style>
  <w:style w:type="character" w:customStyle="1" w:styleId="38">
    <w:name w:val="font41"/>
    <w:basedOn w:val="19"/>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50</Pages>
  <Words>14782</Words>
  <Characters>15602</Characters>
  <Lines>0</Lines>
  <Paragraphs>0</Paragraphs>
  <TotalTime>13</TotalTime>
  <ScaleCrop>false</ScaleCrop>
  <LinksUpToDate>false</LinksUpToDate>
  <CharactersWithSpaces>18435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2017-05-12T08:46:00Z</dcterms:created>
  <dc:creator>USER</dc:creator>
  <cp:lastModifiedBy>Supreme</cp:lastModifiedBy>
  <cp:lastPrinted>2022-03-02T19:20:00Z</cp:lastPrinted>
  <dcterms:modified xsi:type="dcterms:W3CDTF">2023-09-06T09:43:03Z</dcterms:modified>
  <dc:title>关于印发郑州市卫生计生人才建设</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357B0D452B5A4551A6AA505629B1F969</vt:lpwstr>
  </property>
</Properties>
</file>